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60" w:after="280" w:line="264" w:lineRule="auto"/>
        <w:jc w:val="center"/>
        <w:bidi w:val="1"/>
      </w:pPr>
      <w:r>
        <w:rPr>
          <w:rFonts w:ascii="Arial" w:hAnsi="Arial" w:cs="Arial" w:eastAsia="Arial"/>
          <w:b/>
          <w:i w:val="0"/>
          <w:color w:val="7A5A00"/>
          <w:sz w:val="24"/>
          <w:rtl w:val="1"/>
        </w:rPr>
        <w:t>بریف اجرایی اقتصادی</w:t>
      </w:r>
    </w:p>
    <w:p>
      <w:pPr>
        <w:spacing w:before="0" w:after="160" w:line="264" w:lineRule="auto"/>
        <w:jc w:val="center"/>
        <w:bidi w:val="1"/>
      </w:pPr>
      <w:r>
        <w:rPr>
          <w:rFonts w:ascii="Arial" w:hAnsi="Arial" w:cs="Arial" w:eastAsia="Arial"/>
          <w:b/>
          <w:i w:val="0"/>
          <w:color w:val="0B2545"/>
          <w:sz w:val="52"/>
          <w:rtl w:val="1"/>
        </w:rPr>
        <w:t>چشم‌انداز ایران ۲۰۵۰ و ۲۰۶۵</w:t>
      </w:r>
    </w:p>
    <w:p>
      <w:pPr>
        <w:spacing w:before="0" w:after="320" w:line="264" w:lineRule="auto"/>
        <w:jc w:val="center"/>
        <w:bidi w:val="1"/>
      </w:pPr>
      <w:r>
        <w:rPr>
          <w:rFonts w:ascii="Arial" w:hAnsi="Arial" w:cs="Arial" w:eastAsia="Arial"/>
          <w:b w:val="0"/>
          <w:i w:val="0"/>
          <w:color w:val="1F4D78"/>
          <w:sz w:val="28"/>
          <w:rtl w:val="1"/>
        </w:rPr>
        <w:t>سناریوهای شرطی، داده‌های پایه و منطق تصمیم‌گیری سرمایه‌گذاری</w:t>
      </w:r>
    </w:p>
    <w:p>
      <w:pPr>
        <w:spacing w:before="0" w:after="520" w:line="264" w:lineRule="auto"/>
        <w:jc w:val="center"/>
        <w:bidi w:val="1"/>
      </w:pPr>
      <w:r>
        <w:rPr>
          <w:rFonts w:ascii="Arial" w:hAnsi="Arial" w:cs="Arial" w:eastAsia="Arial"/>
          <w:b w:val="0"/>
          <w:i w:val="0"/>
          <w:color w:val="5B6470"/>
          <w:sz w:val="20"/>
          <w:rtl w:val="1"/>
        </w:rPr>
        <w:t>بسته‌های واردشده: WDI، UNSD/UNdata، WPP/ILOSTAT و تجارت/کشاورزی/انرژی | بازیابی پایه: 2026-09-02 | ایران (IRN)</w:t>
      </w:r>
    </w:p>
    <w:p>
      <w:pPr>
        <w:spacing w:after="40" w:line="264" w:lineRule="auto"/>
        <w:ind w:left="115" w:right="115"/>
        <w:jc w:val="right"/>
        <w:bidi w:val="1"/>
        <w:shd w:fill="E8EEF5" w:val="clear"/>
        <w:pBdr>
          <w:right w:val="single" w:sz="20" w:space="8" w:color="7A5A00"/>
        </w:pBdr>
      </w:pPr>
      <w:r>
        <w:rPr>
          <w:rFonts w:ascii="Arial" w:hAnsi="Arial" w:cs="Arial" w:eastAsia="Arial"/>
          <w:b/>
          <w:i w:val="0"/>
          <w:color w:val="7A5A00"/>
          <w:sz w:val="21"/>
          <w:rtl w:val="1"/>
        </w:rPr>
        <w:t xml:space="preserve">حکم استفاده:  </w:t>
      </w:r>
      <w:r>
        <w:rPr>
          <w:rFonts w:ascii="Arial" w:hAnsi="Arial" w:cs="Arial" w:eastAsia="Arial"/>
          <w:b w:val="0"/>
          <w:i w:val="0"/>
          <w:color w:val="0B2545"/>
          <w:sz w:val="21"/>
          <w:rtl w:val="1"/>
        </w:rPr>
        <w:t>این سند پیش‌بینی، وعده رشد یا هدف دلاری اسمی نیست. ارقام ۲۰۵۰ و ۲۰۶۵ تنها نتایج سناریوهای شرطی با فرمول و فرض‌های آشکارند؛ تولید ناخالص داخلی اسمی، واقعی و برابری قدرت خرید با هم ادغام نشده‌اند.</w:t>
      </w:r>
    </w:p>
    <w:p>
      <w:pPr>
        <w:spacing w:after="40"/>
      </w:pPr>
    </w:p>
    <w:p>
      <w:pPr>
        <w:spacing w:before="0" w:after="28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B2545"/>
          <w:sz w:val="22"/>
          <w:rtl w:val="1"/>
        </w:rPr>
        <w:t>این بریف برای مدیران، سرمایه‌گذاران و نهادهای تصمیم‌گیر تهیه شده است تا مرز میان مشاهده، محاسبه، سناریو و خلأ داده روشن بماند.</w:t>
      </w:r>
    </w:p>
    <w:p>
      <w:pPr>
        <w:spacing w:before="200" w:after="120" w:line="264" w:lineRule="auto"/>
        <w:jc w:val="right"/>
        <w:bidi w:val="1"/>
      </w:pPr>
      <w:r>
        <w:rPr>
          <w:rFonts w:ascii="Arial" w:hAnsi="Arial" w:cs="Arial" w:eastAsia="Arial"/>
          <w:b/>
          <w:i w:val="0"/>
          <w:color w:val="2E74B5"/>
          <w:sz w:val="26"/>
          <w:rtl w:val="1"/>
        </w:rPr>
        <w:t>دامنه و خوانش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مشاهده: تاریخچه شاخص‌های منتخب بانک جهانی با سال، واحد، جغرافیا، منبع و وضعیت ثبت‌شده.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مشتق: محاسبات صریح بر مبنای مقادیر مشاهده‌شده؛ واحد و سال پایه ثابت می‌ماند.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سناریو: مسیر رشد ترکیبی با فرض تحلیلی موقت؛ نه پیش‌بینی و نه تعهد سیاستی.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قضاوت: اولویت‌بندی پروژه فقط با شواهد، فرض‌های قابل بازبینی و دروازه‌های اعتبارسنجی مجاز است.</w:t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۱. خلاصه مدیریتی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آخرین مشاهده قابل استفاده برای تولید ناخالص داخلی واقعی ایران در داده پایه 2025 است: ۵۱۹٫۱ میلیارد دلار با قیمت‌های ثابت ۲۰۱۵. این مقدار با تولید ناخالص داخلی اسمی ۳۶۲٫۷ میلیارد دلار و تولید ناخالص داخلی PPP ۱٫۸۲ تریلیون دلار جایگزین یا جمع نمی‌شود.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در سناریوی میانه، رشد واقعی سالانه ۴٫۵٪ یک فرض شرطی است. مخرج سرانه از مسیر میانه جمعیت WPP2024 سازمان ملل گرفته شده: ۱۰۱٫۹ میلیون نفر در ۲۰۵۰ و ۹۹٫۲ میلیون نفر در ۲۰۶۵. نتیجه محاسباتی GDP واقعی: ۱٫۵۶ تریلیون دلار در ۲۰۵۰ و ۳٫۰۲ تریلیون دلار در ۲۰۶۵، هر دو به دلار ثابت ۲۰۱۵. این‌ها هدف اسمی یا پیش‌بینی نیستند.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برای تبدیل این چارچوب به برنامه توسعه یا بسته سرمایه‌گذاری، داده‌های ملی/استانی، جدول داده-ستانده، هزینه سرمایه، ظرفیت تولید و آزمون بازار باید جداگانه وارد، نسخه‌بندی و تأیید شوند.</w:t>
      </w:r>
    </w:p>
    <w:p>
      <w:r>
        <w:br w:type="page"/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۲. خط پایه مشاهده‌شده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9"/>
          <w:rtl w:val="1"/>
        </w:rPr>
        <w:t>همه مقادیر این جدول «مشاهده منتشرشده» در API WDI هستند؛ WDI لزوماً هر نقطه را به سنجش مستقیم در برابر برآورد رسمی/مدل‌شده تفکیک نمی‌کند. برای استفاده تحلیلی، یادداشت و سازمان منبع شاخص باید بررسی شود.</w:t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2460"/>
        <w:gridCol w:w="2040"/>
        <w:gridCol w:w="900"/>
        <w:gridCol w:w="2460"/>
        <w:gridCol w:w="1500"/>
      </w:tblGrid>
      <w:tr>
        <w:trPr>
          <w:tblHeader w:val="true"/>
        </w:trPr>
        <w:tc>
          <w:tcPr>
            <w:tcW w:type="dxa" w:w="2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شاخص</w:t>
            </w:r>
          </w:p>
        </w:tc>
        <w:tc>
          <w:tcPr>
            <w:tcW w:type="dxa" w:w="2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مقدار</w:t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دوره</w:t>
            </w:r>
          </w:p>
        </w:tc>
        <w:tc>
          <w:tcPr>
            <w:tcW w:type="dxa" w:w="2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واحد/مبنای قیمت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منبع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GDP اسمی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۳۶۲٫۷ میلیارد دلار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جاری، دلار آمریکا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GDP واقعی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۵۱۹٫۱ میلیارد دلار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ثابت ۲۰۱۵، دلار آمریکا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GDP PPP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۱٫۸۲ تریلیون دلار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جاری، دلار آمریکا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جمعیت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۹۲٫۴ میلیون نفر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رشد GDP واقعی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−۲٫۸۳٪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تشکیل سرمایه ناخالص/GDP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۴۱٫۷۷٪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نرخ بیکاری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۸٫۳۰٪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صادرات کالا و خدمات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۹۳٫۴ میلیارد دلار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جاری، دلار آمریکا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واردات کالا و خدمات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۱۲۵٫۱ میلیارد دلار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جاری، دلار آمریکا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سهم کشاورزی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۱۰٫۵۹٪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سهم صنعت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۳۹٫۶۴٪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سهم خدمات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۴۷٫۰۹٪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2025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کاربران اینترنت</w:t>
            </w:r>
          </w:p>
        </w:tc>
        <w:tc>
          <w:tcPr>
            <w:tcW w:type="dxa" w:w="20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۸۵٫۳۴٪</w:t>
            </w:r>
          </w:p>
        </w:tc>
        <w:tc>
          <w:tcPr>
            <w:tcW w:type="dxa" w:w="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2024</w:t>
            </w:r>
          </w:p>
        </w:tc>
        <w:tc>
          <w:tcPr>
            <w:tcW w:type="dxa" w:w="2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  <w:tr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دسترسی به برق</w:t>
            </w:r>
          </w:p>
        </w:tc>
        <w:tc>
          <w:tcPr>
            <w:tcW w:type="dxa" w:w="20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۱۰۰٫۰۰٪</w:t>
            </w:r>
          </w:p>
        </w:tc>
        <w:tc>
          <w:tcPr>
            <w:tcW w:type="dxa" w:w="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2024</w:t>
            </w:r>
          </w:p>
        </w:tc>
        <w:tc>
          <w:tcPr>
            <w:tcW w:type="dxa" w:w="2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درصد/نرخ یا نفر</w:t>
            </w:r>
          </w:p>
        </w:tc>
        <w:tc>
          <w:tcPr>
            <w:tcW w:type="dxa" w:w="15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world-bank-wdi</w:t>
            </w:r>
          </w:p>
        </w:tc>
      </w:tr>
    </w:tbl>
    <w:p>
      <w:pPr>
        <w:spacing w:before="80" w:after="8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8"/>
          <w:rtl w:val="1"/>
        </w:rPr>
        <w:t xml:space="preserve">لینک داده پایه WDI: </w:t>
      </w:r>
      <w:hyperlink r:id="rId11">
        <w:r>
          <w:rPr>
            <w:color w:val="2E74B5"/>
            <w:u w:val="single"/>
            <w:rFonts w:ascii="Arial" w:hAnsi="Arial" w:cs="Arial"/>
            <w:rtl w:val="1"/>
          </w:rPr>
          <w:t>World Development Indicators - Iran API</w:t>
        </w:r>
      </w:hyperlink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۳. بسته‌های رسمی واردشده و حدود آن‌ها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9B1C1C"/>
          <w:sz w:val="19"/>
          <w:rtl w:val="1"/>
        </w:rPr>
        <w:t>وضعیت «واردشده» فقط به محدوده دقیق هر بسته دلالت دارد. هیچ‌یک از بسته‌ها اثبات‌کننده پوشش کامل اقتصاد، همه استان‌ها، همه زیر‌بخش‌ها یا همه دوره‌ها نیست.</w:t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60"/>
        <w:gridCol w:w="1760"/>
        <w:gridCol w:w="1720"/>
        <w:gridCol w:w="4120"/>
      </w:tblGrid>
      <w:tr>
        <w:trPr>
          <w:tblHeader w:val="true"/>
        </w:trPr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بسته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پوشش واردشده</w:t>
            </w:r>
          </w:p>
        </w:tc>
        <w:tc>
          <w:tcPr>
            <w:tcW w:type="dxa" w:w="1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دوره</w:t>
            </w:r>
          </w:p>
        </w:tc>
        <w:tc>
          <w:tcPr>
            <w:tcW w:type="dxa" w:w="4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مبنای منبع و محدودیت</w:t>
            </w:r>
          </w:p>
        </w:tc>
      </w:tr>
      <w:tr>
        <w:tc>
          <w:tcPr>
            <w:tcW w:type="dxa" w:w="17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حساب‌های ملی UNSD/UNdata</w:t>
            </w:r>
          </w:p>
        </w:tc>
        <w:tc>
          <w:tcPr>
            <w:tcW w:type="dxa" w:w="17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832 مشاهده</w:t>
            </w:r>
          </w:p>
        </w:tc>
        <w:tc>
          <w:tcPr>
            <w:tcW w:type="dxa" w:w="17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2011–2023</w:t>
            </w:r>
          </w:p>
        </w:tc>
        <w:tc>
          <w:tcPr>
            <w:tcW w:type="dxa" w:w="41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جدول‌های ۲٫۴ و ۲٫۵: ارزش افزوده صنایع ISIC Rev.4 در قیمت جاری و ثابت؛ منبع‌ویژه و با WDI ادغام نشده است.</w:t>
            </w:r>
          </w:p>
        </w:tc>
      </w:tr>
      <w:tr>
        <w:tc>
          <w:tcPr>
            <w:tcW w:type="dxa" w:w="17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WPP 2024 و ILOSTAT</w:t>
            </w:r>
          </w:p>
        </w:tc>
        <w:tc>
          <w:tcPr>
            <w:tcW w:type="dxa" w:w="17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1050 ردیف</w:t>
            </w:r>
          </w:p>
        </w:tc>
        <w:tc>
          <w:tcPr>
            <w:tcW w:type="dxa" w:w="17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WPP: ۲۰۲۴–۲۰۶۵ | ILO: ۲۰۰۰–۲۰۲۶</w:t>
            </w:r>
          </w:p>
        </w:tc>
        <w:tc>
          <w:tcPr>
            <w:tcW w:type="dxa" w:w="41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WPP فقط سناریوی جمعیت کم/میانه/زیاد است. ILO شامل شاخص‌های کار است؛ پوشش بخش‌های A تا U برای همه سال‌ها کامل نیست و ردیف مفقود استنتاج نشده است.</w:t>
            </w:r>
          </w:p>
        </w:tc>
      </w:tr>
      <w:tr>
        <w:tc>
          <w:tcPr>
            <w:tcW w:type="dxa" w:w="17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تجارت، کشاورزی و انرژی</w:t>
            </w:r>
          </w:p>
        </w:tc>
        <w:tc>
          <w:tcPr>
            <w:tcW w:type="dxa" w:w="17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570 مشاهده | 103 خلأ</w:t>
            </w:r>
          </w:p>
        </w:tc>
        <w:tc>
          <w:tcPr>
            <w:tcW w:type="dxa" w:w="17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۲۰۱۵–۲۰۲۵ (وابسته به قلمرو)</w:t>
            </w:r>
          </w:p>
        </w:tc>
        <w:tc>
          <w:tcPr>
            <w:tcW w:type="dxa" w:w="41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Comtrade: ۴۶/۶؛ FAOSTAT: ۳۶۰/۰؛ IRENASTAT: ۱۶۴/۹۷ مشاهده/خلأ. این سه بسته، اقتصاد کلان یا همه بخش‌ها را کامل نمی‌کنند.</w:t>
            </w:r>
          </w:p>
        </w:tc>
      </w:tr>
    </w:tbl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7"/>
          <w:rtl w:val="1"/>
        </w:rPr>
        <w:t>تجارت: UN Comtrade برای گزارشگر ۳۶۴، شریک «جهان»، گمرک C00 و شیوه حمل ۰، جمع سالانه ۲۰۱۵–۲۰۲۵ هرجا منتشر شده و ۱۵ گروه برتر HS2 در آخرین سال ۲۰۲۲ را پوشش می‌دهد؛ ۶ خلأ جریان-سال صریح است.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7"/>
          <w:rtl w:val="1"/>
        </w:rPr>
        <w:t>کشاورزی: FAOSTAT QCL دوازده قلم برتر محصول ایران در ۲۰۲۴، تولید/سطح برداشت/عملکرد ۲۰۱۵–۲۰۲۴ را پوشش می‌دهد؛ پرچم و یادداشت منبع حفظ شده و خانه خالی، خلأ منبع است. انرژی: IRENASTAT ظرفیت (MW) و تولید (GWh) فناوری‌های منتخب را جداگانه نگه می‌دارد؛ ۹۷ خلأ منبعی صریح است.</w:t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۴. سناریوهای شرطی ۲۰۵۰ و ۲۰۶۵</w:t>
      </w:r>
    </w:p>
    <w:p>
      <w:pPr>
        <w:spacing w:after="40" w:line="264" w:lineRule="auto"/>
        <w:ind w:left="115" w:right="115"/>
        <w:jc w:val="right"/>
        <w:bidi w:val="1"/>
        <w:shd w:fill="E8EEF5" w:val="clear"/>
        <w:pBdr>
          <w:right w:val="single" w:sz="20" w:space="8" w:color="7A5A00"/>
        </w:pBdr>
      </w:pPr>
      <w:r>
        <w:rPr>
          <w:rFonts w:ascii="Arial" w:hAnsi="Arial" w:cs="Arial" w:eastAsia="Arial"/>
          <w:b/>
          <w:i w:val="0"/>
          <w:color w:val="7A5A00"/>
          <w:sz w:val="21"/>
          <w:rtl w:val="1"/>
        </w:rPr>
        <w:t xml:space="preserve">فرمول:  </w:t>
      </w:r>
      <w:r>
        <w:rPr>
          <w:rFonts w:ascii="Arial" w:hAnsi="Arial" w:cs="Arial" w:eastAsia="Arial"/>
          <w:b w:val="0"/>
          <w:i w:val="0"/>
          <w:color w:val="0B2545"/>
          <w:sz w:val="21"/>
          <w:rtl w:val="1"/>
        </w:rPr>
        <w:t>Y_t = Y_2025 × (1 + g_Y)^(t−2025) ؛ y_t = Y_t / P_t. پایه GDP واقعی، دلار ثابت ۲۰۱۵ است. P_۲۰۵۰ = ۱۰۱٬۸۶۱٬۹۹۳ و P_۲۰۶۵ = ۹۹٬۱۶۵٬۴۴۲ نفر، مسیر میانه WPP2024 سازمان ملل است: سناریوی رسمی جمعیت، نه مشاهده و نه فرض رشد ثابت ۰٫۳٪.</w:t>
      </w:r>
    </w:p>
    <w:p>
      <w:pPr>
        <w:spacing w:after="40"/>
      </w:pP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050"/>
        <w:gridCol w:w="1450"/>
        <w:gridCol w:w="1880"/>
        <w:gridCol w:w="1880"/>
        <w:gridCol w:w="1550"/>
        <w:gridCol w:w="1550"/>
      </w:tblGrid>
      <w:tr>
        <w:trPr>
          <w:tblHeader w:val="true"/>
        </w:trPr>
        <w:tc>
          <w:tcPr>
            <w:tcW w:type="dxa" w:w="1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مسیر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رشد واقعی سالانه</w:t>
            </w:r>
          </w:p>
        </w:tc>
        <w:tc>
          <w:tcPr>
            <w:tcW w:type="dxa" w:w="1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GDP واقعی ۲۰۵۰</w:t>
            </w:r>
          </w:p>
        </w:tc>
        <w:tc>
          <w:tcPr>
            <w:tcW w:type="dxa" w:w="1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GDP واقعی ۲۰۶۵</w:t>
            </w:r>
          </w:p>
        </w:tc>
        <w:tc>
          <w:tcPr>
            <w:tcW w:type="dxa" w:w="15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سرانه واقعی ۲۰۵۰</w:t>
            </w:r>
          </w:p>
        </w:tc>
        <w:tc>
          <w:tcPr>
            <w:tcW w:type="dxa" w:w="15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5"/>
                <w:rtl w:val="1"/>
              </w:rPr>
              <w:t>سرانه واقعی ۲۰۶۵</w:t>
            </w:r>
          </w:p>
        </w:tc>
      </w:tr>
      <w:tr>
        <w:tc>
          <w:tcPr>
            <w:tcW w:type="dxa" w:w="10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کم</w:t>
            </w:r>
          </w:p>
        </w:tc>
        <w:tc>
          <w:tcPr>
            <w:tcW w:type="dxa" w:w="14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۲٫۰٪</w:t>
            </w:r>
          </w:p>
        </w:tc>
        <w:tc>
          <w:tcPr>
            <w:tcW w:type="dxa" w:w="188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۸۵۱٫۷ میلیارد دلار</w:t>
            </w:r>
          </w:p>
        </w:tc>
        <w:tc>
          <w:tcPr>
            <w:tcW w:type="dxa" w:w="188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۱٫۱۵ تریلیون دلار</w:t>
            </w:r>
          </w:p>
        </w:tc>
        <w:tc>
          <w:tcPr>
            <w:tcW w:type="dxa" w:w="15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۸٬۳۶۲ دلار ثابت ۲۰۱۵/نفر</w:t>
            </w:r>
          </w:p>
        </w:tc>
        <w:tc>
          <w:tcPr>
            <w:tcW w:type="dxa" w:w="15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۱۱٬۵۵۹ دلار ثابت ۲۰۱۵/نفر</w:t>
            </w:r>
          </w:p>
        </w:tc>
      </w:tr>
      <w:tr>
        <w:tc>
          <w:tcPr>
            <w:tcW w:type="dxa" w:w="10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میانه</w:t>
            </w:r>
          </w:p>
        </w:tc>
        <w:tc>
          <w:tcPr>
            <w:tcW w:type="dxa" w:w="14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۴٫۵٪</w:t>
            </w:r>
          </w:p>
        </w:tc>
        <w:tc>
          <w:tcPr>
            <w:tcW w:type="dxa" w:w="188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۱٫۵۶ تریلیون دلار</w:t>
            </w:r>
          </w:p>
        </w:tc>
        <w:tc>
          <w:tcPr>
            <w:tcW w:type="dxa" w:w="188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۳٫۰۲ تریلیون دلار</w:t>
            </w:r>
          </w:p>
        </w:tc>
        <w:tc>
          <w:tcPr>
            <w:tcW w:type="dxa" w:w="15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۱۵٬۳۱۷ دلار ثابت ۲۰۱۵/نفر</w:t>
            </w:r>
          </w:p>
        </w:tc>
        <w:tc>
          <w:tcPr>
            <w:tcW w:type="dxa" w:w="15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۳۰٬۴۵۰ دلار ثابت ۲۰۱۵/نفر</w:t>
            </w:r>
          </w:p>
        </w:tc>
      </w:tr>
      <w:tr>
        <w:tc>
          <w:tcPr>
            <w:tcW w:type="dxa" w:w="10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زیاد</w:t>
            </w:r>
          </w:p>
        </w:tc>
        <w:tc>
          <w:tcPr>
            <w:tcW w:type="dxa" w:w="14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۶٫۵٪</w:t>
            </w:r>
          </w:p>
        </w:tc>
        <w:tc>
          <w:tcPr>
            <w:tcW w:type="dxa" w:w="188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۲٫۵۱ تریلیون دلار</w:t>
            </w:r>
          </w:p>
        </w:tc>
        <w:tc>
          <w:tcPr>
            <w:tcW w:type="dxa" w:w="188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۶٫۴۵ تریلیون دلار</w:t>
            </w:r>
          </w:p>
        </w:tc>
        <w:tc>
          <w:tcPr>
            <w:tcW w:type="dxa" w:w="15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۲۴٬۶۰۵ دلار ثابت ۲۰۱۵/نفر</w:t>
            </w:r>
          </w:p>
        </w:tc>
        <w:tc>
          <w:tcPr>
            <w:tcW w:type="dxa" w:w="15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5"/>
                <w:rtl w:val="1"/>
              </w:rPr>
              <w:t>۶۵٬۰۰۰ دلار ثابت ۲۰۱۵/نفر</w:t>
            </w:r>
          </w:p>
        </w:tc>
      </w:tr>
    </w:tbl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8"/>
          <w:rtl w:val="1"/>
        </w:rPr>
        <w:t>مخرج‌های سرانه فقط از مسیر میانه WPP2024 سازمان ملل می‌آیند؛ این مسیر، سناریوی جمعیت است و نباید با رشد ثابت سالانه یا مشاهده جمعیت برابر گرفته شود.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9B1C1C"/>
          <w:sz w:val="19"/>
          <w:rtl w:val="1"/>
        </w:rPr>
        <w:t>فرض‌های رشد ۲٫۰٪، ۴٫۵٪ و ۶٫۵٪ در این نسخه reduced-form موقت‌اند. کالیبراسیون کامل LTGM نیازمند داده‌های سرمایه، نیروی کار، بهره‌وری، استهلاک، سرمایه انسانی و روش‌شناسی نسخه‌دار است و در این محصول هنوز انجام نشده است.</w:t>
      </w:r>
    </w:p>
    <w:p>
      <w:pPr>
        <w:spacing w:before="160" w:after="60" w:line="264" w:lineRule="auto"/>
        <w:jc w:val="right"/>
        <w:bidi w:val="1"/>
      </w:pPr>
      <w:r>
        <w:rPr>
          <w:rFonts w:ascii="Arial" w:hAnsi="Arial" w:cs="Arial" w:eastAsia="Arial"/>
          <w:b/>
          <w:i w:val="0"/>
          <w:color w:val="2E74B5"/>
          <w:sz w:val="22"/>
          <w:rtl w:val="1"/>
        </w:rPr>
        <w:t>منابع/محدودیت‌های سناریو</w:t>
      </w:r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8"/>
          <w:rtl w:val="1"/>
        </w:rPr>
        <w:t xml:space="preserve">world-bank-wdi: واردشده | </w:t>
      </w:r>
      <w:hyperlink r:id="rId12">
        <w:r>
          <w:rPr>
            <w:color w:val="2E74B5"/>
            <w:u w:val="single"/>
            <w:rFonts w:ascii="Arial" w:hAnsi="Arial" w:cs="Arial"/>
            <w:rtl w:val="1"/>
          </w:rPr>
          <w:t>World Development Indicators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8"/>
          <w:rtl w:val="1"/>
        </w:rPr>
        <w:t xml:space="preserve">un-wpp-2024: واردشده | </w:t>
      </w:r>
      <w:hyperlink r:id="rId13">
        <w:r>
          <w:rPr>
            <w:color w:val="2E74B5"/>
            <w:u w:val="single"/>
            <w:rFonts w:ascii="Arial" w:hAnsi="Arial" w:cs="Arial"/>
            <w:rtl w:val="1"/>
          </w:rPr>
          <w:t>World Population Prospects 2024 (Medium, Low and High variants)</w:t>
        </w:r>
      </w:hyperlink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۵. ساختار بخش‌ها و زنجیره ارزش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طبقه‌بندی رسمی این محصول ISIC Rev.4 است: ۲۱ بخش A تا U با منبع UNSD. کاتالوگ بخش‌ها فقط طبقه‌بندی است؛ ۸۳۲ مشاهده UNSD در جدول‌های جداگانه حساب‌های ملی نگهداری می‌شود و بدون همسان‌سازی واحد/سال پایه با WDI ادغام نشده است.</w:t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700"/>
        <w:gridCol w:w="4620"/>
        <w:gridCol w:w="1700"/>
        <w:gridCol w:w="2340"/>
      </w:tblGrid>
      <w:tr>
        <w:trPr>
          <w:tblHeader w:val="true"/>
        </w:trPr>
        <w:tc>
          <w:tcPr>
            <w:tcW w:type="dxa" w:w="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کد</w:t>
            </w:r>
          </w:p>
        </w:tc>
        <w:tc>
          <w:tcPr>
            <w:tcW w:type="dxa" w:w="46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بخش رسمی ISIC Rev.4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نوع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6"/>
                <w:rtl w:val="1"/>
              </w:rPr>
              <w:t>وضعیت داده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A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کشاورزی، جنگلداری و ماهیگیری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B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استخراج معدن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C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تولید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D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تأمین برق، گاز، بخار و تهویه مطبوع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E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تأمین آب؛ دفع فاضلاب، مدیریت پسماند و فعالیت‌های تصفیه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F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ساختمان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G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تجارت عمده و خرده‌فروشی؛ تعمیر وسایل نقلیه موتوری و موتورسیکلت‌ها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H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حمل‌ونقل و انبارداری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I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اقامت و خدمات غذایی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J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اطلاعات و ارتباطات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K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فعالیت‌های مالی و بیمه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L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فعالیت‌های املاک و مستغلات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M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فعالیت‌های حرفه‌ای، علمی و فنی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N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فعالیت‌های اداری و خدمات پشتیبانی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O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اداره عمومی و دفاع؛ تأمین اجتماعی اجباری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P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آموزش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Q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سلامت انسانی و فعالیت‌های مددکاری اجتماعی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R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هنر، سرگرمی و تفریح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S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سایر فعالیت‌های خدماتی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T</w:t>
            </w:r>
          </w:p>
        </w:tc>
        <w:tc>
          <w:tcPr>
            <w:tcW w:type="dxa" w:w="462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 خانوارها به‌عنوان کارفرما؛ تولید کالا و خدمات خانوارها برای مصرف خود</w:t>
            </w:r>
          </w:p>
        </w:tc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  <w:tr>
        <w:tc>
          <w:tcPr>
            <w:tcW w:type="dxa" w:w="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U</w:t>
            </w:r>
          </w:p>
        </w:tc>
        <w:tc>
          <w:tcPr>
            <w:tcW w:type="dxa" w:w="462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فعالیت‌های سازمان‌ها و نهادهای فراسرزمینی</w:t>
            </w:r>
          </w:p>
        </w:tc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بخش رسمی</w:t>
            </w:r>
          </w:p>
        </w:tc>
        <w:tc>
          <w:tcPr>
            <w:tcW w:type="dxa" w:w="234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6"/>
                <w:rtl w:val="1"/>
              </w:rPr>
              <w:t>فقط فراداده؛ بدون مشاهده در کاتالوگ</w:t>
            </w:r>
          </w:p>
        </w:tc>
      </w:tr>
    </w:tbl>
    <w:p>
      <w:pPr>
        <w:spacing w:before="160" w:after="60" w:line="264" w:lineRule="auto"/>
        <w:jc w:val="right"/>
        <w:bidi w:val="1"/>
      </w:pPr>
      <w:r>
        <w:rPr>
          <w:rFonts w:ascii="Arial" w:hAnsi="Arial" w:cs="Arial" w:eastAsia="Arial"/>
          <w:b/>
          <w:i w:val="0"/>
          <w:color w:val="2E74B5"/>
          <w:sz w:val="22"/>
          <w:rtl w:val="1"/>
        </w:rPr>
        <w:t>لنزهای تحلیلی (غیررسمی و هم‌پوشان)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زنجیره ارزش نفت و گاز: تجمیع تحلیلی استخراج، پالایش، شیمیایی، تأسیسات، انتقال خط لوله و عمده‌فروشی است؛ بخش مستقل ISIC نیست.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زنجیره معدن و مواد معدنی: لنز تحلیلی از استخراج تا کانی‌های غیرفلزی، فلزات پایه و محصولات فلزی است؛ ارزش یا اشتغال به مشاهده مستند نیاز دارد.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لجستیک و کریدورهای اقتصادی: لنز میان‌بخشی تجارت، حمل‌ونقل، انبارداری، پست و ترتیبات سفر است؛ مرز کریدور جغرافیای تحلیلی است نه واحد ISIC.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اقتصاد دیجیتال: خوشه تحلیلی تولید و استفاده دیجیتال است؛ ISIC Rev.4 بخش مستقل «اقتصاد دیجیتال» ندارد و نگاشت می‌تواند هم‌پوشان باشد.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اقتصاد گردشگری: مفهوم ماهواره‌ای تقاضامحور شامل اقامت، غذا، حمل‌ونقل، خرده‌فروشی، سفر و تفریح است؛ بخش ISIC نیست.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اقتصاد خلاق: خوشه تحلیلی نشر، تولید دیداری‌شنیداری، طراحی تخصصی و هنر/سرگرمی است؛ مرز آن به چارچوب منتخب اقتصاد خلاق وابسته است.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9B1C1C"/>
          <w:sz w:val="19"/>
          <w:rtl w:val="1"/>
        </w:rPr>
        <w:t>پیوندهای CPC 2.1، HS 2022 و EBOPS 2010 فقط ثبت‌شده‌اند و هنوز وارد نشده‌اند؛ تبدیل تجارت محصول به مشاهده صنعت مجاز نیست.</w:t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۶. منطق ارزیابی پروژه و سرمایه‌گذاری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موتور محاسباتی محصول، NPV، IRR، ERR، دوره بازگشت، نسبت منفعت به هزینه، نقطه سربه‌سر، تحلیل حساسیت و سناریو را به‌صورت قطعی و با ثبت واحد، مبنای قیمت و دفتر مالی/اقتصادی اجرا می‌کند.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NPV: مجموع جریان نقدی تنزیل‌شده؛ نرخ تنزیل، ارز و مبنای قیمت باید صریح باشد.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IRR: همه ریشه‌های تغییر علامت در بازه جست‌وجوی اعلام‌شده؛ چندریشگی اخطار دارد.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ERR: برای منافع خالص اقتصادی، جدا از دفتر مالی و با فرض‌های تبدیل قابل مشاهده.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پروژه: فقط پس از تعیین جریان درآمد، هزینه، ظرفیت، ریسک، ذی‌نفع، تأمین مالی و شواهد بازار قابل اولویت‌دهی است.</w:t>
      </w:r>
    </w:p>
    <w:p>
      <w:pPr>
        <w:spacing w:after="40" w:line="264" w:lineRule="auto"/>
        <w:ind w:left="115" w:right="115"/>
        <w:jc w:val="right"/>
        <w:bidi w:val="1"/>
        <w:shd w:fill="E8EEF5" w:val="clear"/>
        <w:pBdr>
          <w:right w:val="single" w:sz="20" w:space="8" w:color="7A5A00"/>
        </w:pBdr>
      </w:pPr>
      <w:r>
        <w:rPr>
          <w:rFonts w:ascii="Arial" w:hAnsi="Arial" w:cs="Arial" w:eastAsia="Arial"/>
          <w:b/>
          <w:i w:val="0"/>
          <w:color w:val="7A5A00"/>
          <w:sz w:val="21"/>
          <w:rtl w:val="1"/>
        </w:rPr>
        <w:t xml:space="preserve">مرز COMFAR:  </w:t>
      </w:r>
      <w:r>
        <w:rPr>
          <w:rFonts w:ascii="Arial" w:hAnsi="Arial" w:cs="Arial" w:eastAsia="Arial"/>
          <w:b w:val="0"/>
          <w:i w:val="0"/>
          <w:color w:val="0B2545"/>
          <w:sz w:val="21"/>
          <w:rtl w:val="1"/>
        </w:rPr>
        <w:t>این خروجی COMFAR یا سازگار با COMFAR معرفی نمی‌شود. مدل مستقل و شفاف است و از منطق‌های منتشرشده UNIDO/World Bank استفاده می‌کند؛ اعتبارسنجی در ابزار مالکیتی COMFAR در این گزارش انجام نشده است.</w:t>
      </w:r>
    </w:p>
    <w:p>
      <w:pPr>
        <w:spacing w:after="40"/>
      </w:pP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۷. محدودیت‌ها و دروازه‌های تکمیل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بسته‌های واردشده WDI، UNSD/UNdata، WPP/ILOSTAT و تجارت/کشاورزی/انرژی هستند؛ ورود هر بسته به معنی تکمیل اقتصاد، بخش یا قلمرو نیست.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داده‌های ملی، استانی، حساب‌های منطقه‌ای، داده-ستانده، تجارت تفصیلی، قیمت سرمایه، ظرفیت و پروژه‌ها باید جداگانه با دوره، واحد، URL و هش وارد شوند.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کاربر نباید GDP اسمی، واقعی و PPP را در یک «هدف تریلیون دلاری» واحد ادغام کند.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هویت‌های بخشی، خوشه‌ها، کریدورها و فرصت‌ها نیازمند داده مشاهده‌شده یا داوری مستند مستقل‌اند؛ فهرست طبقه‌بندی به‌تنهایی ظرفیت اقتصادی را اثبات نمی‌کند.</w:t>
      </w:r>
    </w:p>
    <w:p>
      <w:pPr>
        <w:pStyle w:val="ListBullet"/>
        <w:spacing w:after="80" w:line="276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000000"/>
          <w:sz w:val="21"/>
          <w:rtl w:val="1"/>
        </w:rPr>
        <w:t>ایجنت هوش مصنوعی فقط می‌تواند در محدوده manifest منجمد منبع ترکیب کند؛ نباید استناد یا محاسبه مالی را بسازد یا جعل کند.</w:t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۸. رجیستری منابع و وضعیت ورود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9"/>
          <w:rtl w:val="1"/>
        </w:rPr>
        <w:t>واردشده یعنی داده در محدوده بسته وارد و اعتبارسنجی شده است؛ ثبت‌شده؛ وارد نشده یعنی منبع شناسایی شده ولی مشاهده‌ای از آن در محصول نیست؛ مسدود یعنی مانع دسترسی/مجوز یا بازیابی ثبت شده است. شناسه‌های فنی در ستون نخست جداگانه نمایش داده می‌شوند.</w:t>
      </w:r>
    </w:p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world-bank-wdi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Bank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Development Indicators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un-wpp-2024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Nations, DESA Population Division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Population Prospects 2024 (Medium, Low and High variants)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ilo-ilostat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Labour Organization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ILOSTAT bulk data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iran-sci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Statistical Center of Iran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Official homepage headline indicators; broader census, yearbook and provincial accounts remain registered for later ingestion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iran-cbi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Central Bank of the Islamic Republic of Iran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Economic time series, national accounts, monetary and balance-of-payments statistics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نقطه ماشینی تأییدنشده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imf-data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Monetary Fund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WEO, IFS, FAS, BOP and CDIS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iea-data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Energy Agency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Energy statistics and balances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مسدود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نیازمند مجوز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opec-asb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Organization of the Petroleum Exporting Countries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Annual Statistical Bulletin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irena-statistics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Renewable Energy Agency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Renewable Capacity Statistics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unido-indstat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Industrial Development Organization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INDSTAT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مسدود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نیازمند مجوز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un-comtrade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 Comtrade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wto-data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Trade Organization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WTO Stats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world-bank-lpi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Bank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Logistics Performance Index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unctadstat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 Trade and Development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UNCTADstat, LSCI and PLSCI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fao-faostat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Food and Agriculture Organization of the United Nations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FAOSTAT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fao-aquastat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Food and Agriculture Organization of the United Nations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AQUASTAT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world-bank-cckp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Bank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Climate Change Knowledge Portal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itu-datahub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Telecommunication Union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ITU DataHub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نقطه ماشینی تأییدنشده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world-bank-findex-2025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Bank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Global Findex 2025 Iran microdata (2024 survey)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tsetmc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Tehran Securities Exchange Technology Management Co.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Iran capital-market trading data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نقطه ماشینی تأییدنشده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saudi-vision-2030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Kingdom of Saudi Arabia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Saudi Vision 2030 and annual reports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uae-we-the-uae-2031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Arab Emirates Government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We the UAE 2031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uae-centennial-2071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Arab Emirates Government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UAE Centennial 2071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oman-vision-2040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Oman Vision 2040 Implementation Follow-up Unit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Oman Vision 2040 and annual reports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qatar-national-vision-2030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Government Communications Office, State of Qatar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Qatar National Vision 2030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qatar-national-development-strategy-3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National Planning Council, State of Qatar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Third National Development Strategy 2024-2030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turkiye-transport-logistics-2053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Republic of Türkiye Ministry of Transport and Infrastructure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Transport and Logistics Master Plan 2053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kazakhstan-strategy-2050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President of the Republic of Kazakhstan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Kazakhstan Strategy 2050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malaysia-madani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Government of Malaysia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Malaysia MADANI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malaysia-dosm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Department of Statistics Malaysia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Official Malaysia statistics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singapore-green-plan-2030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Government of Singapore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Singapore Green Plan 2030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korea-carbon-neutrality-2050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Republic of Korea Presidential Commission on Carbon Neutrality and Green Growth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2050 Carbon Neutral Strategy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eu-climate-law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European Union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European Climate Law, Regulation (EU) 2021/1119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eu-eighth-environment-action-programme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European Union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Eighth Environment Action Programme, Decision (EU) 2022/591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unsd-national-accounts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UNdata National Accounts Tables 2.4 and 2.5 for Iran (SNA 2008, ISIC Rev. 4)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—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700"/>
        <w:gridCol w:w="1600"/>
        <w:gridCol w:w="14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شناسه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ناشر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مجموعه داده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وضعیت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4"/>
                <w:rtl w:val="1"/>
              </w:rPr>
              <w:t>خلأ/مانع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unsd-isic-rev4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Standard Industrial Classification of All Economic Activities, Revision 4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unsd-isic-rev5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International Standard Industrial Classification of All Economic Activities, Revision 5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unsd-cpc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Central Product Classification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  <w:tr>
        <w:tc>
          <w:tcPr>
            <w:tcW w:type="dxa" w:w="1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wco-hs-2022</w:t>
            </w:r>
          </w:p>
        </w:tc>
        <w:tc>
          <w:tcPr>
            <w:tcW w:type="dxa" w:w="19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World Customs Organization</w:t>
            </w:r>
          </w:p>
        </w:tc>
        <w:tc>
          <w:tcPr>
            <w:tcW w:type="dxa" w:w="27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Harmonized System 2022</w:t>
            </w:r>
          </w:p>
        </w:tc>
        <w:tc>
          <w:tcPr>
            <w:tcW w:type="dxa" w:w="160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مسدود</w:t>
            </w:r>
          </w:p>
        </w:tc>
        <w:tc>
          <w:tcPr>
            <w:tcW w:type="dxa" w:w="146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نیازمند مجوز</w:t>
            </w:r>
          </w:p>
        </w:tc>
      </w:tr>
      <w:tr>
        <w:tc>
          <w:tcPr>
            <w:tcW w:type="dxa" w:w="1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unsd-ebops-2010</w:t>
            </w:r>
          </w:p>
        </w:tc>
        <w:tc>
          <w:tcPr>
            <w:tcW w:type="dxa" w:w="19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United Nations Statistics Division</w:t>
            </w:r>
          </w:p>
        </w:tc>
        <w:tc>
          <w:tcPr>
            <w:tcW w:type="dxa" w:w="27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Extended Balance of Payments Services Classification 2010</w:t>
            </w:r>
          </w:p>
        </w:tc>
        <w:tc>
          <w:tcPr>
            <w:tcW w:type="dxa" w:w="160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ثبت‌شده؛ وارد نشده</w:t>
            </w:r>
          </w:p>
        </w:tc>
        <w:tc>
          <w:tcPr>
            <w:tcW w:type="dxa" w:w="146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4"/>
                <w:rtl w:val="1"/>
              </w:rPr>
              <w:t>وارد نشده</w:t>
            </w:r>
          </w:p>
        </w:tc>
      </w:tr>
    </w:tbl>
    <w:p>
      <w:pPr>
        <w:spacing w:before="160" w:after="60" w:line="264" w:lineRule="auto"/>
        <w:jc w:val="right"/>
        <w:bidi w:val="1"/>
      </w:pPr>
      <w:r>
        <w:rPr>
          <w:rFonts w:ascii="Arial" w:hAnsi="Arial" w:cs="Arial" w:eastAsia="Arial"/>
          <w:b/>
          <w:i w:val="0"/>
          <w:color w:val="2E74B5"/>
          <w:sz w:val="22"/>
          <w:rtl w:val="1"/>
        </w:rPr>
        <w:t>فهرست URLهای قابل کلیک</w:t>
      </w:r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world-bank-wdi | </w:t>
      </w:r>
      <w:hyperlink r:id="rId12">
        <w:r>
          <w:rPr>
            <w:color w:val="2E74B5"/>
            <w:u w:val="single"/>
            <w:rFonts w:ascii="Arial" w:hAnsi="Arial" w:cs="Arial"/>
            <w:rtl w:val="1"/>
          </w:rPr>
          <w:t>https://databank.worldbank.org/source/world-development-indicators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un-wpp-2024 | </w:t>
      </w:r>
      <w:hyperlink r:id="rId13">
        <w:r>
          <w:rPr>
            <w:color w:val="2E74B5"/>
            <w:u w:val="single"/>
            <w:rFonts w:ascii="Arial" w:hAnsi="Arial" w:cs="Arial"/>
            <w:rtl w:val="1"/>
          </w:rPr>
          <w:t>https://population.un.org/wpp/Download/Standard/CSV/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ilo-ilostat | </w:t>
      </w:r>
      <w:hyperlink r:id="rId14">
        <w:r>
          <w:rPr>
            <w:color w:val="2E74B5"/>
            <w:u w:val="single"/>
            <w:rFonts w:ascii="Arial" w:hAnsi="Arial" w:cs="Arial"/>
            <w:rtl w:val="1"/>
          </w:rPr>
          <w:t>https://rshiny.ilo.org/dataexplorer/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iran-sci | </w:t>
      </w:r>
      <w:hyperlink r:id="rId15">
        <w:r>
          <w:rPr>
            <w:color w:val="2E74B5"/>
            <w:u w:val="single"/>
            <w:rFonts w:ascii="Arial" w:hAnsi="Arial" w:cs="Arial"/>
            <w:rtl w:val="1"/>
          </w:rPr>
          <w:t>https://amar.org.ir/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iran-cbi | </w:t>
      </w:r>
      <w:hyperlink r:id="rId16">
        <w:r>
          <w:rPr>
            <w:color w:val="2E74B5"/>
            <w:u w:val="single"/>
            <w:rFonts w:ascii="Arial" w:hAnsi="Arial" w:cs="Arial"/>
            <w:rtl w:val="1"/>
          </w:rPr>
          <w:t>https://www.cbi.ir/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imf-data | </w:t>
      </w:r>
      <w:hyperlink r:id="rId17">
        <w:r>
          <w:rPr>
            <w:color w:val="2E74B5"/>
            <w:u w:val="single"/>
            <w:rFonts w:ascii="Arial" w:hAnsi="Arial" w:cs="Arial"/>
            <w:rtl w:val="1"/>
          </w:rPr>
          <w:t>https://www.imf.org/en/Data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iea-data | </w:t>
      </w:r>
      <w:hyperlink r:id="rId18">
        <w:r>
          <w:rPr>
            <w:color w:val="2E74B5"/>
            <w:u w:val="single"/>
            <w:rFonts w:ascii="Arial" w:hAnsi="Arial" w:cs="Arial"/>
            <w:rtl w:val="1"/>
          </w:rPr>
          <w:t>https://www.iea.org/data-and-statistics/data-tools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opec-asb | </w:t>
      </w:r>
      <w:hyperlink r:id="rId19">
        <w:r>
          <w:rPr>
            <w:color w:val="2E74B5"/>
            <w:u w:val="single"/>
            <w:rFonts w:ascii="Arial" w:hAnsi="Arial" w:cs="Arial"/>
            <w:rtl w:val="1"/>
          </w:rPr>
          <w:t>https://asb.opec.org/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irena-statistics | </w:t>
      </w:r>
      <w:hyperlink r:id="rId20">
        <w:r>
          <w:rPr>
            <w:color w:val="2E74B5"/>
            <w:u w:val="single"/>
            <w:rFonts w:ascii="Arial" w:hAnsi="Arial" w:cs="Arial"/>
            <w:rtl w:val="1"/>
          </w:rPr>
          <w:t>https://www.irena.org/Data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unido-indstat | </w:t>
      </w:r>
      <w:hyperlink r:id="rId21">
        <w:r>
          <w:rPr>
            <w:color w:val="2E74B5"/>
            <w:u w:val="single"/>
            <w:rFonts w:ascii="Arial" w:hAnsi="Arial" w:cs="Arial"/>
            <w:rtl w:val="1"/>
          </w:rPr>
          <w:t>https://stat.unido.org/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un-comtrade | </w:t>
      </w:r>
      <w:hyperlink r:id="rId22">
        <w:r>
          <w:rPr>
            <w:color w:val="2E74B5"/>
            <w:u w:val="single"/>
            <w:rFonts w:ascii="Arial" w:hAnsi="Arial" w:cs="Arial"/>
            <w:rtl w:val="1"/>
          </w:rPr>
          <w:t>https://comtradeplus.un.org/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wto-data | </w:t>
      </w:r>
      <w:hyperlink r:id="rId23">
        <w:r>
          <w:rPr>
            <w:color w:val="2E74B5"/>
            <w:u w:val="single"/>
            <w:rFonts w:ascii="Arial" w:hAnsi="Arial" w:cs="Arial"/>
            <w:rtl w:val="1"/>
          </w:rPr>
          <w:t>https://stats.wto.org/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world-bank-lpi | </w:t>
      </w:r>
      <w:hyperlink r:id="rId24">
        <w:r>
          <w:rPr>
            <w:color w:val="2E74B5"/>
            <w:u w:val="single"/>
            <w:rFonts w:ascii="Arial" w:hAnsi="Arial" w:cs="Arial"/>
            <w:rtl w:val="1"/>
          </w:rPr>
          <w:t>https://lpi.worldbank.org/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unctadstat | </w:t>
      </w:r>
      <w:hyperlink r:id="rId25">
        <w:r>
          <w:rPr>
            <w:color w:val="2E74B5"/>
            <w:u w:val="single"/>
            <w:rFonts w:ascii="Arial" w:hAnsi="Arial" w:cs="Arial"/>
            <w:rtl w:val="1"/>
          </w:rPr>
          <w:t>https://unctadstat.unctad.org/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fao-faostat | </w:t>
      </w:r>
      <w:hyperlink r:id="rId26">
        <w:r>
          <w:rPr>
            <w:color w:val="2E74B5"/>
            <w:u w:val="single"/>
            <w:rFonts w:ascii="Arial" w:hAnsi="Arial" w:cs="Arial"/>
            <w:rtl w:val="1"/>
          </w:rPr>
          <w:t>https://www.fao.org/faostat/en/#data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fao-aquastat | </w:t>
      </w:r>
      <w:hyperlink r:id="rId27">
        <w:r>
          <w:rPr>
            <w:color w:val="2E74B5"/>
            <w:u w:val="single"/>
            <w:rFonts w:ascii="Arial" w:hAnsi="Arial" w:cs="Arial"/>
            <w:rtl w:val="1"/>
          </w:rPr>
          <w:t>https://www.fao.org/aquastat/en/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world-bank-cckp | </w:t>
      </w:r>
      <w:hyperlink r:id="rId28">
        <w:r>
          <w:rPr>
            <w:color w:val="2E74B5"/>
            <w:u w:val="single"/>
            <w:rFonts w:ascii="Arial" w:hAnsi="Arial" w:cs="Arial"/>
            <w:rtl w:val="1"/>
          </w:rPr>
          <w:t>https://climateknowledgeportal.worldbank.org/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itu-datahub | </w:t>
      </w:r>
      <w:hyperlink r:id="rId29">
        <w:r>
          <w:rPr>
            <w:color w:val="2E74B5"/>
            <w:u w:val="single"/>
            <w:rFonts w:ascii="Arial" w:hAnsi="Arial" w:cs="Arial"/>
            <w:rtl w:val="1"/>
          </w:rPr>
          <w:t>https://datahub.itu.int/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world-bank-findex-2025 | </w:t>
      </w:r>
      <w:hyperlink r:id="rId30">
        <w:r>
          <w:rPr>
            <w:color w:val="2E74B5"/>
            <w:u w:val="single"/>
            <w:rFonts w:ascii="Arial" w:hAnsi="Arial" w:cs="Arial"/>
            <w:rtl w:val="1"/>
          </w:rPr>
          <w:t>https://microdata.worldbank.org/index.php/catalog/8040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tsetmc | </w:t>
      </w:r>
      <w:hyperlink r:id="rId31">
        <w:r>
          <w:rPr>
            <w:color w:val="2E74B5"/>
            <w:u w:val="single"/>
            <w:rFonts w:ascii="Arial" w:hAnsi="Arial" w:cs="Arial"/>
            <w:rtl w:val="1"/>
          </w:rPr>
          <w:t>https://www.tsetmc.com/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saudi-vision-2030 | </w:t>
      </w:r>
      <w:hyperlink r:id="rId32">
        <w:r>
          <w:rPr>
            <w:color w:val="2E74B5"/>
            <w:u w:val="single"/>
            <w:rFonts w:ascii="Arial" w:hAnsi="Arial" w:cs="Arial"/>
            <w:rtl w:val="1"/>
          </w:rPr>
          <w:t>https://www.vision2030.gov.sa/en/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uae-we-the-uae-2031 | </w:t>
      </w:r>
      <w:hyperlink r:id="rId33">
        <w:r>
          <w:rPr>
            <w:color w:val="2E74B5"/>
            <w:u w:val="single"/>
            <w:rFonts w:ascii="Arial" w:hAnsi="Arial" w:cs="Arial"/>
            <w:rtl w:val="1"/>
          </w:rPr>
          <w:t>https://u.ae/en/about-the-uae/strategies-initiatives-and-awards/strategies-plans-and-visions/we-the-uae-2031-vision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uae-centennial-2071 | </w:t>
      </w:r>
      <w:hyperlink r:id="rId34">
        <w:r>
          <w:rPr>
            <w:color w:val="2E74B5"/>
            <w:u w:val="single"/>
            <w:rFonts w:ascii="Arial" w:hAnsi="Arial" w:cs="Arial"/>
            <w:rtl w:val="1"/>
          </w:rPr>
          <w:t>https://u.ae/en/about-the-uae/strategies-initiatives-and-awards/strategies-plans-and-visions/uae-centennial-2071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oman-vision-2040 | </w:t>
      </w:r>
      <w:hyperlink r:id="rId35">
        <w:r>
          <w:rPr>
            <w:color w:val="2E74B5"/>
            <w:u w:val="single"/>
            <w:rFonts w:ascii="Arial" w:hAnsi="Arial" w:cs="Arial"/>
            <w:rtl w:val="1"/>
          </w:rPr>
          <w:t>https://www.oman2040.om/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qatar-national-vision-2030 | </w:t>
      </w:r>
      <w:hyperlink r:id="rId36">
        <w:r>
          <w:rPr>
            <w:color w:val="2E74B5"/>
            <w:u w:val="single"/>
            <w:rFonts w:ascii="Arial" w:hAnsi="Arial" w:cs="Arial"/>
            <w:rtl w:val="1"/>
          </w:rPr>
          <w:t>https://www.gco.gov.qa/en/state-of-qatar/vision-2030/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qatar-national-development-strategy-3 | </w:t>
      </w:r>
      <w:hyperlink r:id="rId37">
        <w:r>
          <w:rPr>
            <w:color w:val="2E74B5"/>
            <w:u w:val="single"/>
            <w:rFonts w:ascii="Arial" w:hAnsi="Arial" w:cs="Arial"/>
            <w:rtl w:val="1"/>
          </w:rPr>
          <w:t>https://www.npc.qa/en/planning/nds3/Pages/default.aspx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turkiye-transport-logistics-2053 | </w:t>
      </w:r>
      <w:hyperlink r:id="rId38">
        <w:r>
          <w:rPr>
            <w:color w:val="2E74B5"/>
            <w:u w:val="single"/>
            <w:rFonts w:ascii="Arial" w:hAnsi="Arial" w:cs="Arial"/>
            <w:rtl w:val="1"/>
          </w:rPr>
          <w:t>https://www.uab.gov.tr/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kazakhstan-strategy-2050 | </w:t>
      </w:r>
      <w:hyperlink r:id="rId39">
        <w:r>
          <w:rPr>
            <w:color w:val="2E74B5"/>
            <w:u w:val="single"/>
            <w:rFonts w:ascii="Arial" w:hAnsi="Arial" w:cs="Arial"/>
            <w:rtl w:val="1"/>
          </w:rPr>
          <w:t>https://www.akorda.kz/en/official_documents/strategies_and_programs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malaysia-madani | </w:t>
      </w:r>
      <w:hyperlink r:id="rId40">
        <w:r>
          <w:rPr>
            <w:color w:val="2E74B5"/>
            <w:u w:val="single"/>
            <w:rFonts w:ascii="Arial" w:hAnsi="Arial" w:cs="Arial"/>
            <w:rtl w:val="1"/>
          </w:rPr>
          <w:t>https://malaysiamadani.gov.my/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malaysia-dosm | </w:t>
      </w:r>
      <w:hyperlink r:id="rId41">
        <w:r>
          <w:rPr>
            <w:color w:val="2E74B5"/>
            <w:u w:val="single"/>
            <w:rFonts w:ascii="Arial" w:hAnsi="Arial" w:cs="Arial"/>
            <w:rtl w:val="1"/>
          </w:rPr>
          <w:t>https://www.dosm.gov.my/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singapore-green-plan-2030 | </w:t>
      </w:r>
      <w:hyperlink r:id="rId42">
        <w:r>
          <w:rPr>
            <w:color w:val="2E74B5"/>
            <w:u w:val="single"/>
            <w:rFonts w:ascii="Arial" w:hAnsi="Arial" w:cs="Arial"/>
            <w:rtl w:val="1"/>
          </w:rPr>
          <w:t>https://www.greenplan.gov.sg/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korea-carbon-neutrality-2050 | </w:t>
      </w:r>
      <w:hyperlink r:id="rId43">
        <w:r>
          <w:rPr>
            <w:color w:val="2E74B5"/>
            <w:u w:val="single"/>
            <w:rFonts w:ascii="Arial" w:hAnsi="Arial" w:cs="Arial"/>
            <w:rtl w:val="1"/>
          </w:rPr>
          <w:t>https://www.2050cnc.go.kr/eng/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eu-climate-law | </w:t>
      </w:r>
      <w:hyperlink r:id="rId44">
        <w:r>
          <w:rPr>
            <w:color w:val="2E74B5"/>
            <w:u w:val="single"/>
            <w:rFonts w:ascii="Arial" w:hAnsi="Arial" w:cs="Arial"/>
            <w:rtl w:val="1"/>
          </w:rPr>
          <w:t>https://eur-lex.europa.eu/eli/reg/2021/1119/oj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eu-eighth-environment-action-programme | </w:t>
      </w:r>
      <w:hyperlink r:id="rId45">
        <w:r>
          <w:rPr>
            <w:color w:val="2E74B5"/>
            <w:u w:val="single"/>
            <w:rFonts w:ascii="Arial" w:hAnsi="Arial" w:cs="Arial"/>
            <w:rtl w:val="1"/>
          </w:rPr>
          <w:t>https://eur-lex.europa.eu/eli/dec/2022/591/oj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unsd-national-accounts | </w:t>
      </w:r>
      <w:hyperlink r:id="rId46">
        <w:r>
          <w:rPr>
            <w:color w:val="2E74B5"/>
            <w:u w:val="single"/>
            <w:rFonts w:ascii="Arial" w:hAnsi="Arial" w:cs="Arial"/>
            <w:rtl w:val="1"/>
          </w:rPr>
          <w:t>https://data.un.org/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unsd-isic-rev4 | </w:t>
      </w:r>
      <w:hyperlink r:id="rId47">
        <w:r>
          <w:rPr>
            <w:color w:val="2E74B5"/>
            <w:u w:val="single"/>
            <w:rFonts w:ascii="Arial" w:hAnsi="Arial" w:cs="Arial"/>
            <w:rtl w:val="1"/>
          </w:rPr>
          <w:t>https://unstats.un.org/unsd/classifications/Econ/isic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unsd-isic-rev5 | </w:t>
      </w:r>
      <w:hyperlink r:id="rId47">
        <w:r>
          <w:rPr>
            <w:color w:val="2E74B5"/>
            <w:u w:val="single"/>
            <w:rFonts w:ascii="Arial" w:hAnsi="Arial" w:cs="Arial"/>
            <w:rtl w:val="1"/>
          </w:rPr>
          <w:t>https://unstats.un.org/unsd/classifications/Econ/isic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unsd-cpc | </w:t>
      </w:r>
      <w:hyperlink r:id="rId48">
        <w:r>
          <w:rPr>
            <w:color w:val="2E74B5"/>
            <w:u w:val="single"/>
            <w:rFonts w:ascii="Arial" w:hAnsi="Arial" w:cs="Arial"/>
            <w:rtl w:val="1"/>
          </w:rPr>
          <w:t>https://unstats.un.org/unsd/classifications/Econ/cpc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wco-hs-2022 | </w:t>
      </w:r>
      <w:hyperlink r:id="rId49">
        <w:r>
          <w:rPr>
            <w:color w:val="2E74B5"/>
            <w:u w:val="single"/>
            <w:rFonts w:ascii="Arial" w:hAnsi="Arial" w:cs="Arial"/>
            <w:rtl w:val="1"/>
          </w:rPr>
          <w:t>https://www.wcoomd.org/en/topics/nomenclature/instrument-and-tools/hs-nomenclature-2022-edition.aspx</w:t>
        </w:r>
      </w:hyperlink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 xml:space="preserve">unsd-ebops-2010 | </w:t>
      </w:r>
      <w:hyperlink r:id="rId50">
        <w:r>
          <w:rPr>
            <w:color w:val="2E74B5"/>
            <w:u w:val="single"/>
            <w:rFonts w:ascii="Arial" w:hAnsi="Arial" w:cs="Arial"/>
            <w:rtl w:val="1"/>
          </w:rPr>
          <w:t>https://unstats.un.org/unsd/tradeserv/TFSITS/msits2010/M86%20rev1-white%20cover.pdf</w:t>
        </w:r>
      </w:hyperlink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۹. یادداشت بازتولیدپذیری</w:t>
      </w:r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9"/>
          <w:rtl w:val="1"/>
        </w:rPr>
        <w:t>هش تجمیعی ورودی‌ها (SHA-256):</w:t>
      </w:r>
    </w:p>
    <w:p>
      <w:pPr>
        <w:spacing w:before="0" w:after="60" w:line="264" w:lineRule="auto"/>
        <w:jc w:val="lef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>6f96b2c087ce8aa7e5bb6703853d654e777196204f4c0c69c08178b6eddd2ed7</w:t>
      </w:r>
    </w:p>
    <w:p>
      <w:pPr>
        <w:spacing w:before="0" w:after="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9"/>
          <w:rtl w:val="1"/>
        </w:rPr>
        <w:t>فایل‌های مبنا:</w:t>
      </w:r>
    </w:p>
    <w:p>
      <w:pPr>
        <w:spacing w:before="0" w:after="40" w:line="264" w:lineRule="auto"/>
        <w:jc w:val="left"/>
        <w:bidi w:val="1"/>
      </w:pPr>
      <w:r>
        <w:rPr>
          <w:rFonts w:ascii="Arial" w:hAnsi="Arial" w:cs="Arial" w:eastAsia="Arial"/>
          <w:b w:val="0"/>
          <w:i w:val="0"/>
          <w:color w:val="5B6470"/>
          <w:sz w:val="16"/>
          <w:rtl w:val="1"/>
        </w:rPr>
        <w:t>iran-wdi.snapshot.json | sources.v1.json | sector-catalog.v1.json | snapshot-2026-08-29.json | iran-wpp-ilo.v1.json | iran-trade-agri-energy.v1.json</w:t>
      </w:r>
    </w:p>
    <w:p>
      <w:pPr>
        <w:spacing w:before="0" w:after="8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7"/>
          <w:rtl w:val="1"/>
        </w:rPr>
        <w:t>زمان ساخت (UTC): 2026-09-02T18:37:44+00:00</w:t>
      </w:r>
    </w:p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9"/>
          <w:rtl w:val="1"/>
        </w:rPr>
        <w:t>برای هر بازتولید، هش ورودی، نسخه داده، سال پایه، فرمول، نرخ رشد و منبع باید همراه خروجی نگهداری شود. تغییر هر ورودی، گزارش را به نسخه جدید تبدیل می‌کند.</w:t>
      </w:r>
    </w:p>
    <w:p>
      <w:r>
        <w:br w:type="page"/>
      </w:r>
    </w:p>
    <w:p>
      <w:pPr>
        <w:spacing w:before="320" w:after="160"/>
        <w:jc w:val="right"/>
        <w:pStyle w:val="Heading1"/>
        <w:keepNext/>
        <w:bidi w:val="1"/>
      </w:pPr>
      <w:r>
        <w:rPr>
          <w:rFonts w:ascii="Arial" w:hAnsi="Arial" w:cs="Arial" w:eastAsia="Arial"/>
          <w:b/>
          <w:i w:val="0"/>
          <w:color w:val="2E74B5"/>
          <w:sz w:val="32"/>
          <w:rtl w:val="1"/>
        </w:rPr>
        <w:t>پیوست الف. اطلس چشم‌اندازهای ملی بازیابی‌شده</w:t>
      </w:r>
    </w:p>
    <w:p>
      <w:pPr>
        <w:spacing w:after="40" w:line="264" w:lineRule="auto"/>
        <w:ind w:left="115" w:right="115"/>
        <w:jc w:val="right"/>
        <w:bidi w:val="1"/>
        <w:shd w:fill="E8EEF5" w:val="clear"/>
        <w:pBdr>
          <w:right w:val="single" w:sz="20" w:space="8" w:color="9B1C1C"/>
        </w:pBdr>
      </w:pPr>
      <w:r>
        <w:rPr>
          <w:rFonts w:ascii="Arial" w:hAnsi="Arial" w:cs="Arial" w:eastAsia="Arial"/>
          <w:b/>
          <w:i w:val="0"/>
          <w:color w:val="9B1C1C"/>
          <w:sz w:val="21"/>
          <w:rtl w:val="1"/>
        </w:rPr>
        <w:t xml:space="preserve">وضعیت انتشار:  </w:t>
      </w:r>
      <w:r>
        <w:rPr>
          <w:rFonts w:ascii="Arial" w:hAnsi="Arial" w:cs="Arial" w:eastAsia="Arial"/>
          <w:b w:val="0"/>
          <w:i w:val="0"/>
          <w:color w:val="0B2545"/>
          <w:sz w:val="21"/>
          <w:rtl w:val="1"/>
        </w:rPr>
        <w:t>فایل اصلیِ مرجع در دسترس نیست؛ بنابراین این اطلس برای انتشار به‌عنوان دادهٔ معتبر مسدود است. هیچ ادعای تکمیل یا پوشش تأییدشده از این بازیابی استنتاج نمی‌شود.</w:t>
      </w:r>
    </w:p>
    <w:p>
      <w:pPr>
        <w:spacing w:after="40"/>
      </w:pPr>
    </w:p>
    <w:tbl>
      <w:tblPr>
        <w:tblStyle w:val="TableGrid"/>
        <w:tblW w:type="dxa" w:w="9360"/>
        <w:jc w:val="right"/>
        <w:tblLayout w:type="fixed"/>
        <w:tblLook w:firstColumn="1" w:firstRow="1" w:lastColumn="0" w:lastRow="0" w:noHBand="0" w:noVBand="1" w:val="04A0"/>
        <w:tblInd w:w="120" w:type="dxa"/>
      </w:tblPr>
      <w:tblGrid>
        <w:gridCol w:w="3150"/>
        <w:gridCol w:w="6210"/>
      </w:tblGrid>
      <w:tr>
        <w:trPr>
          <w:tblHeader w:val="true"/>
        </w:trPr>
        <w:tc>
          <w:tcPr>
            <w:tcW w:type="dxa" w:w="3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شاخص کنترل</w:t>
            </w:r>
          </w:p>
        </w:tc>
        <w:tc>
          <w:tcPr>
            <w:tcW w:type="dxa" w:w="62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/>
                <w:i w:val="0"/>
                <w:color w:val="0B2545"/>
                <w:sz w:val="17"/>
                <w:rtl w:val="1"/>
              </w:rPr>
              <w:t>واقعیت QA</w:t>
            </w:r>
          </w:p>
        </w:tc>
      </w:tr>
      <w:tr>
        <w:tc>
          <w:tcPr>
            <w:tcW w:type="dxa" w:w="31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SHA-256 فایل بازیابی‌شده</w:t>
            </w:r>
          </w:p>
        </w:tc>
        <w:tc>
          <w:tcPr>
            <w:tcW w:type="dxa" w:w="621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38919320da810146ca822ee5475a406bbe7cca3cc60715cf461e9f8b432eb7df</w:t>
            </w:r>
          </w:p>
        </w:tc>
      </w:tr>
      <w:tr>
        <w:tc>
          <w:tcPr>
            <w:tcW w:type="dxa" w:w="31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ادعاها</w:t>
            </w:r>
          </w:p>
        </w:tc>
        <w:tc>
          <w:tcPr>
            <w:tcW w:type="dxa" w:w="621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۶۳۶؛ همه PROVISIONAL/PRESENT</w:t>
            </w:r>
          </w:p>
        </w:tc>
      </w:tr>
      <w:tr>
        <w:tc>
          <w:tcPr>
            <w:tcW w:type="dxa" w:w="31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ردیف‌های missingness</w:t>
            </w:r>
          </w:p>
        </w:tc>
        <w:tc>
          <w:tcPr>
            <w:tcW w:type="dxa" w:w="621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۹۵۳</w:t>
            </w:r>
          </w:p>
        </w:tc>
      </w:tr>
      <w:tr>
        <w:tc>
          <w:tcPr>
            <w:tcW w:type="dxa" w:w="31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تعارض‌های باز</w:t>
            </w:r>
          </w:p>
        </w:tc>
        <w:tc>
          <w:tcPr>
            <w:tcW w:type="dxa" w:w="621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۱۵ OPEN</w:t>
            </w:r>
          </w:p>
        </w:tc>
      </w:tr>
      <w:tr>
        <w:tc>
          <w:tcPr>
            <w:tcW w:type="dxa" w:w="31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URLهای یکتا</w:t>
            </w:r>
          </w:p>
        </w:tc>
        <w:tc>
          <w:tcPr>
            <w:tcW w:type="dxa" w:w="621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۲۷۶</w:t>
            </w:r>
          </w:p>
        </w:tc>
      </w:tr>
      <w:tr>
        <w:tc>
          <w:tcPr>
            <w:tcW w:type="dxa" w:w="315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QA یخ‌زده URL</w:t>
            </w:r>
          </w:p>
        </w:tc>
        <w:tc>
          <w:tcPr>
            <w:tcW w:type="dxa" w:w="6210"/>
            <w:shd w:fill="FAFBFC" w:val="clear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۱۸۹ REACHABLE | ۲۳ ACCESS_RESTRICTED | ۶۴ UNVERIFIED</w:t>
            </w:r>
          </w:p>
        </w:tc>
      </w:tr>
      <w:tr>
        <w:tc>
          <w:tcPr>
            <w:tcW w:type="dxa" w:w="315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فیلد/پوشش تأییدشده</w:t>
            </w:r>
          </w:p>
        </w:tc>
        <w:tc>
          <w:tcPr>
            <w:tcW w:type="dxa" w:w="6210"/>
          </w:tcPr>
          <w:p>
            <w:pPr>
              <w:spacing w:after="0" w:line="240" w:lineRule="auto"/>
              <w:jc w:val="right"/>
              <w:bidi w:val="1"/>
            </w:pPr>
            <w:r>
              <w:rPr>
                <w:rFonts w:ascii="Arial" w:hAnsi="Arial" w:cs="Arial" w:eastAsia="Arial"/>
                <w:b w:val="0"/>
                <w:i w:val="0"/>
                <w:color w:val="000000"/>
                <w:sz w:val="17"/>
                <w:rtl w:val="1"/>
              </w:rPr>
              <w:t>صفر</w:t>
            </w:r>
          </w:p>
        </w:tc>
      </w:tr>
    </w:tbl>
    <w:p>
      <w:pPr>
        <w:spacing w:before="0" w:after="120" w:line="264" w:lineRule="auto"/>
        <w:jc w:val="right"/>
        <w:bidi w:val="1"/>
      </w:pPr>
      <w:r>
        <w:rPr>
          <w:rFonts w:ascii="Arial" w:hAnsi="Arial" w:cs="Arial" w:eastAsia="Arial"/>
          <w:b w:val="0"/>
          <w:i w:val="0"/>
          <w:color w:val="5B6470"/>
          <w:sz w:val="18"/>
          <w:rtl w:val="1"/>
        </w:rPr>
        <w:t>منبع کنترل داخلی: manual_qa_workbook_raw.json، manual_qa_zip_test.txt و manual_qa_xlsx_sha256.txt در مسیر C:/Users/GileBehnam/Documents/Codex/2026-08-28/new-chat-2/.omo/evidence/. این‌ها شواهد QA هستند، نه منبع معتبر اقتصادی یا ملی.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  <w:bidi w:val="1"/>
    </w:pPr>
    <w:r>
      <w:rPr>
        <w:rFonts w:ascii="Arial" w:hAnsi="Arial" w:cs="Arial" w:eastAsia="Arial"/>
        <w:b w:val="0"/>
        <w:i w:val="0"/>
        <w:color w:val="5B6470"/>
        <w:sz w:val="17"/>
        <w:rtl w:val="1"/>
      </w:rPr>
      <w:t xml:space="preserve">صفحه </w:t>
    </w:r>
    <w:fldSimple w:instr="PAGE">
      <w:r>
        <w:rPr>
          <w:rFonts w:ascii="Arial" w:hAnsi="Arial" w:cs="Arial"/>
        </w:rPr>
        <w:t>1</w:t>
      </w:r>
    </w:fldSimple>
    <w:r>
      <w:rPr>
        <w:rFonts w:ascii="Arial" w:hAnsi="Arial" w:cs="Arial" w:eastAsia="Arial"/>
        <w:b w:val="0"/>
        <w:i w:val="0"/>
        <w:color w:val="5B6470"/>
        <w:sz w:val="17"/>
        <w:rtl w:val="1"/>
      </w:rPr>
      <w:t xml:space="preserve"> | نسخه داده: ۲۰۲۶-۰۸-۲۹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bidi w:val="1"/>
    </w:pPr>
    <w:r>
      <w:rPr>
        <w:rFonts w:ascii="Arial" w:hAnsi="Arial" w:cs="Arial" w:eastAsia="Arial"/>
        <w:b w:val="0"/>
        <w:i w:val="0"/>
        <w:color w:val="5B6470"/>
        <w:sz w:val="17"/>
        <w:rtl w:val="1"/>
      </w:rPr>
      <w:t>چشم‌انداز ایران ۲۰۵۰ و ۲۰۶۵ | بریف اجرایی مبتنی بر شواهد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pi.worldbank.org/v2/country/IRN/indicator/NY.GDP.MKTP.CD?format=json&amp;per_page=20000" TargetMode="External"/><Relationship Id="rId12" Type="http://schemas.openxmlformats.org/officeDocument/2006/relationships/hyperlink" Target="https://databank.worldbank.org/source/world-development-indicators" TargetMode="External"/><Relationship Id="rId13" Type="http://schemas.openxmlformats.org/officeDocument/2006/relationships/hyperlink" Target="https://population.un.org/wpp/Download/Standard/CSV/" TargetMode="External"/><Relationship Id="rId14" Type="http://schemas.openxmlformats.org/officeDocument/2006/relationships/hyperlink" Target="https://rshiny.ilo.org/dataexplorer/" TargetMode="External"/><Relationship Id="rId15" Type="http://schemas.openxmlformats.org/officeDocument/2006/relationships/hyperlink" Target="https://amar.org.ir/" TargetMode="External"/><Relationship Id="rId16" Type="http://schemas.openxmlformats.org/officeDocument/2006/relationships/hyperlink" Target="https://www.cbi.ir/" TargetMode="External"/><Relationship Id="rId17" Type="http://schemas.openxmlformats.org/officeDocument/2006/relationships/hyperlink" Target="https://www.imf.org/en/Data" TargetMode="External"/><Relationship Id="rId18" Type="http://schemas.openxmlformats.org/officeDocument/2006/relationships/hyperlink" Target="https://www.iea.org/data-and-statistics/data-tools" TargetMode="External"/><Relationship Id="rId19" Type="http://schemas.openxmlformats.org/officeDocument/2006/relationships/hyperlink" Target="https://asb.opec.org/" TargetMode="External"/><Relationship Id="rId20" Type="http://schemas.openxmlformats.org/officeDocument/2006/relationships/hyperlink" Target="https://www.irena.org/Data" TargetMode="External"/><Relationship Id="rId21" Type="http://schemas.openxmlformats.org/officeDocument/2006/relationships/hyperlink" Target="https://stat.unido.org/" TargetMode="External"/><Relationship Id="rId22" Type="http://schemas.openxmlformats.org/officeDocument/2006/relationships/hyperlink" Target="https://comtradeplus.un.org/" TargetMode="External"/><Relationship Id="rId23" Type="http://schemas.openxmlformats.org/officeDocument/2006/relationships/hyperlink" Target="https://stats.wto.org/" TargetMode="External"/><Relationship Id="rId24" Type="http://schemas.openxmlformats.org/officeDocument/2006/relationships/hyperlink" Target="https://lpi.worldbank.org/" TargetMode="External"/><Relationship Id="rId25" Type="http://schemas.openxmlformats.org/officeDocument/2006/relationships/hyperlink" Target="https://unctadstat.unctad.org/" TargetMode="External"/><Relationship Id="rId26" Type="http://schemas.openxmlformats.org/officeDocument/2006/relationships/hyperlink" Target="https://www.fao.org/faostat/en/#data" TargetMode="External"/><Relationship Id="rId27" Type="http://schemas.openxmlformats.org/officeDocument/2006/relationships/hyperlink" Target="https://www.fao.org/aquastat/en/" TargetMode="External"/><Relationship Id="rId28" Type="http://schemas.openxmlformats.org/officeDocument/2006/relationships/hyperlink" Target="https://climateknowledgeportal.worldbank.org/" TargetMode="External"/><Relationship Id="rId29" Type="http://schemas.openxmlformats.org/officeDocument/2006/relationships/hyperlink" Target="https://datahub.itu.int/" TargetMode="External"/><Relationship Id="rId30" Type="http://schemas.openxmlformats.org/officeDocument/2006/relationships/hyperlink" Target="https://microdata.worldbank.org/index.php/catalog/8040" TargetMode="External"/><Relationship Id="rId31" Type="http://schemas.openxmlformats.org/officeDocument/2006/relationships/hyperlink" Target="https://www.tsetmc.com/" TargetMode="External"/><Relationship Id="rId32" Type="http://schemas.openxmlformats.org/officeDocument/2006/relationships/hyperlink" Target="https://www.vision2030.gov.sa/en/" TargetMode="External"/><Relationship Id="rId33" Type="http://schemas.openxmlformats.org/officeDocument/2006/relationships/hyperlink" Target="https://u.ae/en/about-the-uae/strategies-initiatives-and-awards/strategies-plans-and-visions/we-the-uae-2031-vision" TargetMode="External"/><Relationship Id="rId34" Type="http://schemas.openxmlformats.org/officeDocument/2006/relationships/hyperlink" Target="https://u.ae/en/about-the-uae/strategies-initiatives-and-awards/strategies-plans-and-visions/uae-centennial-2071" TargetMode="External"/><Relationship Id="rId35" Type="http://schemas.openxmlformats.org/officeDocument/2006/relationships/hyperlink" Target="https://www.oman2040.om/" TargetMode="External"/><Relationship Id="rId36" Type="http://schemas.openxmlformats.org/officeDocument/2006/relationships/hyperlink" Target="https://www.gco.gov.qa/en/state-of-qatar/vision-2030/" TargetMode="External"/><Relationship Id="rId37" Type="http://schemas.openxmlformats.org/officeDocument/2006/relationships/hyperlink" Target="https://www.npc.qa/en/planning/nds3/Pages/default.aspx" TargetMode="External"/><Relationship Id="rId38" Type="http://schemas.openxmlformats.org/officeDocument/2006/relationships/hyperlink" Target="https://www.uab.gov.tr/" TargetMode="External"/><Relationship Id="rId39" Type="http://schemas.openxmlformats.org/officeDocument/2006/relationships/hyperlink" Target="https://www.akorda.kz/en/official_documents/strategies_and_programs" TargetMode="External"/><Relationship Id="rId40" Type="http://schemas.openxmlformats.org/officeDocument/2006/relationships/hyperlink" Target="https://malaysiamadani.gov.my/" TargetMode="External"/><Relationship Id="rId41" Type="http://schemas.openxmlformats.org/officeDocument/2006/relationships/hyperlink" Target="https://www.dosm.gov.my/" TargetMode="External"/><Relationship Id="rId42" Type="http://schemas.openxmlformats.org/officeDocument/2006/relationships/hyperlink" Target="https://www.greenplan.gov.sg/" TargetMode="External"/><Relationship Id="rId43" Type="http://schemas.openxmlformats.org/officeDocument/2006/relationships/hyperlink" Target="https://www.2050cnc.go.kr/eng/" TargetMode="External"/><Relationship Id="rId44" Type="http://schemas.openxmlformats.org/officeDocument/2006/relationships/hyperlink" Target="https://eur-lex.europa.eu/eli/reg/2021/1119/oj" TargetMode="External"/><Relationship Id="rId45" Type="http://schemas.openxmlformats.org/officeDocument/2006/relationships/hyperlink" Target="https://eur-lex.europa.eu/eli/dec/2022/591/oj" TargetMode="External"/><Relationship Id="rId46" Type="http://schemas.openxmlformats.org/officeDocument/2006/relationships/hyperlink" Target="https://data.un.org/" TargetMode="External"/><Relationship Id="rId47" Type="http://schemas.openxmlformats.org/officeDocument/2006/relationships/hyperlink" Target="https://unstats.un.org/unsd/classifications/Econ/isic" TargetMode="External"/><Relationship Id="rId48" Type="http://schemas.openxmlformats.org/officeDocument/2006/relationships/hyperlink" Target="https://unstats.un.org/unsd/classifications/Econ/cpc" TargetMode="External"/><Relationship Id="rId49" Type="http://schemas.openxmlformats.org/officeDocument/2006/relationships/hyperlink" Target="https://www.wcoomd.org/en/topics/nomenclature/instrument-and-tools/hs-nomenclature-2022-edition.aspx" TargetMode="External"/><Relationship Id="rId50" Type="http://schemas.openxmlformats.org/officeDocument/2006/relationships/hyperlink" Target="https://unstats.un.org/unsd/tradeserv/TFSITS/msits2010/M86%20rev1-white%20cov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چشم‌انداز ایران ۲۰۵۰ و ۲۰۶۵ - بریف اقتصادی</dc:title>
  <dc:subject>سناریوهای شرطی، داده‌های پایه و منطق سرمایه‌گذاری</dc:subject>
  <dc:creator>VISION economic intelligence product</dc:creator>
  <cp:keywords/>
  <dc:description>Evidence-backed executive brief.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